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12629" w:rsidRPr="00B12629" w:rsidTr="008B6761">
        <w:tc>
          <w:tcPr>
            <w:tcW w:w="396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12629" w:rsidRPr="00B12629" w:rsidRDefault="00B12629" w:rsidP="00B1262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1262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12629" w:rsidRPr="00B12629" w:rsidTr="008B6761">
        <w:tc>
          <w:tcPr>
            <w:tcW w:w="9540" w:type="dxa"/>
            <w:gridSpan w:val="3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12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C62" w:rsidRDefault="00730C62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12629" w:rsidRPr="00B12629" w:rsidTr="008B6761">
        <w:trPr>
          <w:trHeight w:val="565"/>
        </w:trPr>
        <w:tc>
          <w:tcPr>
            <w:tcW w:w="3960" w:type="dxa"/>
          </w:tcPr>
          <w:p w:rsidR="00B12629" w:rsidRPr="00B12629" w:rsidRDefault="00B12629" w:rsidP="00B1262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563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="00BE01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F96B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февраля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B12629" w:rsidRPr="00B12629" w:rsidRDefault="00B12629" w:rsidP="00B12629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           № </w:t>
            </w:r>
            <w:r w:rsidR="003563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B12629" w:rsidRDefault="00B12629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960" w:rsidRPr="00B12629" w:rsidRDefault="00C95960" w:rsidP="00B126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8188"/>
        <w:gridCol w:w="284"/>
      </w:tblGrid>
      <w:tr w:rsidR="00B12629" w:rsidRPr="00B12629" w:rsidTr="003A1998">
        <w:trPr>
          <w:trHeight w:val="990"/>
        </w:trPr>
        <w:tc>
          <w:tcPr>
            <w:tcW w:w="8188" w:type="dxa"/>
            <w:shd w:val="clear" w:color="auto" w:fill="auto"/>
          </w:tcPr>
          <w:p w:rsidR="00B12629" w:rsidRPr="00B12629" w:rsidRDefault="003A1998" w:rsidP="00C9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E1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признании </w:t>
            </w:r>
            <w:proofErr w:type="gramStart"/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утратившим</w:t>
            </w:r>
            <w:proofErr w:type="gramEnd"/>
            <w:r w:rsidR="0006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силу </w:t>
            </w:r>
          </w:p>
        </w:tc>
        <w:tc>
          <w:tcPr>
            <w:tcW w:w="284" w:type="dxa"/>
            <w:shd w:val="clear" w:color="auto" w:fill="auto"/>
          </w:tcPr>
          <w:p w:rsidR="00B12629" w:rsidRPr="00B12629" w:rsidRDefault="00B12629" w:rsidP="00B126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C4402" w:rsidRDefault="000E143C" w:rsidP="00BE0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A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0E143C" w:rsidRDefault="000E143C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AAF" w:rsidRDefault="00064AAF" w:rsidP="003A19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629" w:rsidRPr="00B12629" w:rsidRDefault="00B12629" w:rsidP="00BE0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B12629" w:rsidRDefault="00B12629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998" w:rsidRPr="00B12629" w:rsidRDefault="003A1998" w:rsidP="00B12629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960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596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64AAF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B12629" w:rsidRPr="00B12629">
        <w:rPr>
          <w:rFonts w:ascii="Times New Roman" w:hAnsi="Times New Roman" w:cs="Times New Roman"/>
          <w:sz w:val="26"/>
          <w:szCs w:val="26"/>
        </w:rPr>
        <w:t xml:space="preserve"> </w:t>
      </w:r>
      <w:r w:rsidR="00E7530C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7530C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95960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7530C">
        <w:rPr>
          <w:rFonts w:ascii="Times New Roman" w:hAnsi="Times New Roman" w:cs="Times New Roman"/>
          <w:sz w:val="26"/>
          <w:szCs w:val="26"/>
        </w:rPr>
        <w:t xml:space="preserve"> от 06</w:t>
      </w:r>
      <w:r w:rsidR="00730C62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E7530C">
        <w:rPr>
          <w:rFonts w:ascii="Times New Roman" w:hAnsi="Times New Roman" w:cs="Times New Roman"/>
          <w:sz w:val="26"/>
          <w:szCs w:val="26"/>
        </w:rPr>
        <w:t>2015г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E7530C">
        <w:rPr>
          <w:rFonts w:ascii="Times New Roman" w:hAnsi="Times New Roman" w:cs="Times New Roman"/>
          <w:sz w:val="26"/>
          <w:szCs w:val="26"/>
        </w:rPr>
        <w:t xml:space="preserve"> № 112 «Об утверждении </w:t>
      </w:r>
      <w:hyperlink w:anchor="Par28" w:tooltip="Ссылка на текущий документ" w:history="1">
        <w:proofErr w:type="gramStart"/>
        <w:r w:rsidR="00B12629" w:rsidRPr="00B12629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="00E7530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B12629" w:rsidRPr="00B12629">
        <w:rPr>
          <w:rFonts w:ascii="Times New Roman" w:hAnsi="Times New Roman" w:cs="Times New Roman"/>
          <w:sz w:val="26"/>
          <w:szCs w:val="26"/>
        </w:rPr>
        <w:t xml:space="preserve"> осуществления </w:t>
      </w:r>
      <w:r w:rsidR="00B12629">
        <w:rPr>
          <w:rFonts w:ascii="Times New Roman" w:hAnsi="Times New Roman" w:cs="Times New Roman"/>
          <w:sz w:val="26"/>
          <w:szCs w:val="26"/>
        </w:rPr>
        <w:t>внутреннего финансового контроля</w:t>
      </w:r>
      <w:r w:rsidR="00B12629" w:rsidRPr="00B12629">
        <w:rPr>
          <w:rFonts w:ascii="Times New Roman" w:hAnsi="Times New Roman" w:cs="Times New Roman"/>
          <w:sz w:val="26"/>
          <w:szCs w:val="26"/>
        </w:rPr>
        <w:t xml:space="preserve"> </w:t>
      </w:r>
      <w:r w:rsidR="00B12629">
        <w:rPr>
          <w:rFonts w:ascii="Times New Roman" w:hAnsi="Times New Roman" w:cs="Times New Roman"/>
          <w:sz w:val="26"/>
          <w:szCs w:val="26"/>
        </w:rPr>
        <w:t xml:space="preserve">и внутреннего финансового аудита главными распорядителями (распорядителями) средств бюджета </w:t>
      </w:r>
      <w:r w:rsidR="006A7B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муниципального района </w:t>
      </w:r>
      <w:r w:rsidR="00B12629">
        <w:rPr>
          <w:rFonts w:ascii="Times New Roman" w:hAnsi="Times New Roman" w:cs="Times New Roman"/>
          <w:sz w:val="26"/>
          <w:szCs w:val="26"/>
        </w:rPr>
        <w:t xml:space="preserve">«Печора», </w:t>
      </w:r>
      <w:r w:rsidR="006A7B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муниципального района </w:t>
      </w:r>
      <w:r w:rsidR="00B12629">
        <w:rPr>
          <w:rFonts w:ascii="Times New Roman" w:hAnsi="Times New Roman" w:cs="Times New Roman"/>
          <w:sz w:val="26"/>
          <w:szCs w:val="26"/>
        </w:rPr>
        <w:t xml:space="preserve">МР «Печора», главными администраторами (администраторами) источников финансирования дефицита бюджета </w:t>
      </w:r>
      <w:r w:rsidR="006A7B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муниципального района </w:t>
      </w:r>
      <w:r w:rsidR="00B12629">
        <w:rPr>
          <w:rFonts w:ascii="Times New Roman" w:hAnsi="Times New Roman" w:cs="Times New Roman"/>
          <w:sz w:val="26"/>
          <w:szCs w:val="26"/>
        </w:rPr>
        <w:t>«Печора»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30C62" w:rsidRDefault="00C95960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04</w:t>
      </w:r>
      <w:r w:rsidR="00730C62">
        <w:rPr>
          <w:rFonts w:ascii="Times New Roman" w:hAnsi="Times New Roman" w:cs="Times New Roman"/>
          <w:sz w:val="26"/>
          <w:szCs w:val="26"/>
        </w:rPr>
        <w:t xml:space="preserve"> февраля </w:t>
      </w:r>
      <w:r>
        <w:rPr>
          <w:rFonts w:ascii="Times New Roman" w:hAnsi="Times New Roman" w:cs="Times New Roman"/>
          <w:sz w:val="26"/>
          <w:szCs w:val="26"/>
        </w:rPr>
        <w:t>2019г. № 117 «</w:t>
      </w:r>
      <w:r w:rsidRPr="00C95960">
        <w:rPr>
          <w:rFonts w:ascii="Times New Roman" w:hAnsi="Times New Roman" w:cs="Times New Roman"/>
          <w:sz w:val="26"/>
          <w:szCs w:val="26"/>
        </w:rPr>
        <w:t>О внесении изменений в  Постановление  Администрации МР «Печора» от 06.02.2015 №112  «Об утверждении  Порядка осуществления внутреннего финансового контроля и внутреннего финансового аудита главными распорядителями (распорядителями) средств бюджета МО МР «Печора», главными администраторами (администраторами) доходов бюджета МО МР «Печора», главными администраторами (администраторами) источников финансирования дефицита бюджета МО МР «Печора»</w:t>
      </w:r>
      <w:r w:rsidR="00730C62">
        <w:rPr>
          <w:rFonts w:ascii="Times New Roman" w:hAnsi="Times New Roman" w:cs="Times New Roman"/>
          <w:sz w:val="26"/>
          <w:szCs w:val="26"/>
        </w:rPr>
        <w:t>;</w:t>
      </w:r>
    </w:p>
    <w:p w:rsidR="00B12629" w:rsidRDefault="00730C62" w:rsidP="00C959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04 февраля 2019г.</w:t>
      </w:r>
      <w:r w:rsidR="000E14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120 «</w:t>
      </w:r>
      <w:r w:rsidRPr="00730C62">
        <w:rPr>
          <w:rFonts w:ascii="Times New Roman" w:hAnsi="Times New Roman" w:cs="Times New Roman"/>
          <w:sz w:val="26"/>
          <w:szCs w:val="26"/>
        </w:rPr>
        <w:t>Об утверждении Порядка проведения анализа осуществления главными администраторами средств бюджета МО МР «Печора», внутреннего финансового контроля и внутреннего финансового аудита»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7ED0" w:rsidRDefault="000B4A14" w:rsidP="00BE0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67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 </w:t>
      </w:r>
      <w:r w:rsidR="00626947" w:rsidRPr="006269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распространяется на правоотношения</w:t>
      </w:r>
      <w:r w:rsidR="00064AAF">
        <w:rPr>
          <w:rFonts w:ascii="Times New Roman" w:hAnsi="Times New Roman" w:cs="Times New Roman"/>
          <w:sz w:val="26"/>
          <w:szCs w:val="26"/>
        </w:rPr>
        <w:t>, возникшие</w:t>
      </w:r>
      <w:r w:rsidR="00626947" w:rsidRPr="00626947">
        <w:rPr>
          <w:rFonts w:ascii="Times New Roman" w:hAnsi="Times New Roman" w:cs="Times New Roman"/>
          <w:sz w:val="26"/>
          <w:szCs w:val="26"/>
        </w:rPr>
        <w:t xml:space="preserve"> с 01.01.20</w:t>
      </w:r>
      <w:r w:rsidR="00064AAF">
        <w:rPr>
          <w:rFonts w:ascii="Times New Roman" w:hAnsi="Times New Roman" w:cs="Times New Roman"/>
          <w:sz w:val="26"/>
          <w:szCs w:val="26"/>
        </w:rPr>
        <w:t>20,</w:t>
      </w:r>
      <w:r w:rsidR="00626947">
        <w:rPr>
          <w:rFonts w:ascii="Times New Roman" w:hAnsi="Times New Roman" w:cs="Times New Roman"/>
          <w:sz w:val="26"/>
          <w:szCs w:val="26"/>
        </w:rPr>
        <w:t xml:space="preserve"> и </w:t>
      </w:r>
      <w:r w:rsidR="00A17ED0" w:rsidRPr="006269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 размещению на официальном сайте администрации муниципального района «Печора».</w:t>
      </w:r>
    </w:p>
    <w:p w:rsidR="00016460" w:rsidRPr="00016460" w:rsidRDefault="00016460" w:rsidP="00BE010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460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0164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4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 w:rsidR="00F96B1B">
        <w:rPr>
          <w:rFonts w:ascii="Times New Roman" w:hAnsi="Times New Roman" w:cs="Times New Roman"/>
          <w:sz w:val="26"/>
          <w:szCs w:val="26"/>
        </w:rPr>
        <w:t>.</w:t>
      </w:r>
      <w:r w:rsidRPr="00016460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064AAF" w:rsidRPr="00306F4A" w:rsidTr="00C95960">
        <w:tc>
          <w:tcPr>
            <w:tcW w:w="4752" w:type="dxa"/>
            <w:shd w:val="clear" w:color="auto" w:fill="auto"/>
          </w:tcPr>
          <w:p w:rsidR="00064AAF" w:rsidRDefault="00064AAF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0190" w:rsidRPr="00306F4A" w:rsidRDefault="00560190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42265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 –</w:t>
            </w:r>
          </w:p>
          <w:p w:rsidR="00064AAF" w:rsidRPr="00306F4A" w:rsidRDefault="00064AAF" w:rsidP="00560190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AF" w:rsidRPr="00306F4A" w:rsidRDefault="00064AAF" w:rsidP="00C95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B12629" w:rsidRPr="00B12629" w:rsidRDefault="00B12629" w:rsidP="00C95960">
      <w:pPr>
        <w:overflowPunct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2629" w:rsidRPr="00B12629" w:rsidSect="00730C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90" w:rsidRDefault="00560190" w:rsidP="00560190">
      <w:pPr>
        <w:spacing w:after="0" w:line="240" w:lineRule="auto"/>
      </w:pPr>
      <w:r>
        <w:separator/>
      </w:r>
    </w:p>
  </w:endnote>
  <w:end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90" w:rsidRDefault="00560190" w:rsidP="00560190">
      <w:pPr>
        <w:spacing w:after="0" w:line="240" w:lineRule="auto"/>
      </w:pPr>
      <w:r>
        <w:separator/>
      </w:r>
    </w:p>
  </w:footnote>
  <w:footnote w:type="continuationSeparator" w:id="0">
    <w:p w:rsidR="00560190" w:rsidRDefault="00560190" w:rsidP="0056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D5D20"/>
    <w:multiLevelType w:val="hybridMultilevel"/>
    <w:tmpl w:val="2C8A23C0"/>
    <w:lvl w:ilvl="0" w:tplc="A3C42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0BD"/>
    <w:rsid w:val="00016460"/>
    <w:rsid w:val="00064AAF"/>
    <w:rsid w:val="000B4A14"/>
    <w:rsid w:val="000D0890"/>
    <w:rsid w:val="000E143C"/>
    <w:rsid w:val="001C4402"/>
    <w:rsid w:val="002E76A0"/>
    <w:rsid w:val="003563BF"/>
    <w:rsid w:val="003A1998"/>
    <w:rsid w:val="003D1A5E"/>
    <w:rsid w:val="00470954"/>
    <w:rsid w:val="004720E7"/>
    <w:rsid w:val="004A08CC"/>
    <w:rsid w:val="004C7E70"/>
    <w:rsid w:val="005315CE"/>
    <w:rsid w:val="00560190"/>
    <w:rsid w:val="005A3EDD"/>
    <w:rsid w:val="005F12E0"/>
    <w:rsid w:val="00617936"/>
    <w:rsid w:val="0062667C"/>
    <w:rsid w:val="00626947"/>
    <w:rsid w:val="006750BD"/>
    <w:rsid w:val="006A7BF1"/>
    <w:rsid w:val="006B6113"/>
    <w:rsid w:val="00730C62"/>
    <w:rsid w:val="00773676"/>
    <w:rsid w:val="00894923"/>
    <w:rsid w:val="008B6761"/>
    <w:rsid w:val="008D6130"/>
    <w:rsid w:val="00934B9D"/>
    <w:rsid w:val="00A17ED0"/>
    <w:rsid w:val="00B12629"/>
    <w:rsid w:val="00BE0100"/>
    <w:rsid w:val="00C138A5"/>
    <w:rsid w:val="00C759A6"/>
    <w:rsid w:val="00C95960"/>
    <w:rsid w:val="00E14E88"/>
    <w:rsid w:val="00E474E9"/>
    <w:rsid w:val="00E7530C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A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190"/>
  </w:style>
  <w:style w:type="paragraph" w:styleId="a8">
    <w:name w:val="footer"/>
    <w:basedOn w:val="a"/>
    <w:link w:val="a9"/>
    <w:uiPriority w:val="99"/>
    <w:unhideWhenUsed/>
    <w:rsid w:val="0056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1</cp:lastModifiedBy>
  <cp:revision>8</cp:revision>
  <cp:lastPrinted>2019-02-05T06:50:00Z</cp:lastPrinted>
  <dcterms:created xsi:type="dcterms:W3CDTF">2019-02-05T06:53:00Z</dcterms:created>
  <dcterms:modified xsi:type="dcterms:W3CDTF">2020-02-10T13:12:00Z</dcterms:modified>
</cp:coreProperties>
</file>